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9BE3" w14:textId="4B8D2053" w:rsidR="00960A8E" w:rsidRPr="004A31F7" w:rsidRDefault="004A31F7" w:rsidP="00960A8E">
      <w:pPr>
        <w:spacing w:after="270" w:line="332" w:lineRule="atLeast"/>
        <w:outlineLvl w:val="2"/>
        <w:rPr>
          <w:rFonts w:eastAsia="Times New Roman" w:cs="Times New Roman"/>
          <w:b/>
          <w:bCs/>
          <w:color w:val="00245D"/>
          <w:kern w:val="0"/>
          <w:lang w:eastAsia="en-GB"/>
          <w14:ligatures w14:val="none"/>
        </w:rPr>
      </w:pPr>
      <w:r w:rsidRPr="00960A8E">
        <w:rPr>
          <w:rFonts w:eastAsia="Times New Roman" w:cs="Times New Roman"/>
          <w:b/>
          <w:bCs/>
          <w:color w:val="00245D"/>
          <w:kern w:val="0"/>
          <w:lang w:eastAsia="en-GB"/>
          <w14:ligatures w14:val="none"/>
        </w:rPr>
        <w:t>OCR BUSINESS</w:t>
      </w:r>
      <w:r w:rsidR="00960A8E" w:rsidRPr="00960A8E">
        <w:rPr>
          <w:rFonts w:eastAsia="Times New Roman" w:cs="Times New Roman"/>
          <w:b/>
          <w:bCs/>
          <w:color w:val="00245D"/>
          <w:kern w:val="0"/>
          <w:lang w:eastAsia="en-GB"/>
          <w14:ligatures w14:val="none"/>
        </w:rPr>
        <w:t xml:space="preserve"> </w:t>
      </w:r>
      <w:r w:rsidR="00960A8E" w:rsidRPr="004A31F7">
        <w:rPr>
          <w:rFonts w:eastAsia="Times New Roman" w:cs="Times New Roman"/>
          <w:b/>
          <w:bCs/>
          <w:color w:val="00245D"/>
          <w:kern w:val="0"/>
          <w:lang w:eastAsia="en-GB"/>
          <w14:ligatures w14:val="none"/>
        </w:rPr>
        <w:t>Content overview</w:t>
      </w:r>
    </w:p>
    <w:p w14:paraId="5668DDE5" w14:textId="77777777" w:rsidR="004A31F7" w:rsidRPr="004A31F7" w:rsidRDefault="004A31F7" w:rsidP="004A31F7">
      <w:pPr>
        <w:spacing w:after="308" w:line="308" w:lineRule="atLeast"/>
        <w:outlineLvl w:val="3"/>
        <w:rPr>
          <w:rFonts w:eastAsia="Times New Roman" w:cs="Times New Roman"/>
          <w:b/>
          <w:bCs/>
          <w:kern w:val="0"/>
          <w:sz w:val="20"/>
          <w:szCs w:val="20"/>
          <w:lang w:eastAsia="en-GB"/>
          <w14:ligatures w14:val="none"/>
        </w:rPr>
      </w:pPr>
      <w:r w:rsidRPr="004A31F7">
        <w:rPr>
          <w:rFonts w:eastAsia="Times New Roman" w:cs="Times New Roman"/>
          <w:b/>
          <w:bCs/>
          <w:kern w:val="0"/>
          <w:sz w:val="20"/>
          <w:szCs w:val="20"/>
          <w:lang w:eastAsia="en-GB"/>
          <w14:ligatures w14:val="none"/>
        </w:rPr>
        <w:t>Business 01: Business activity, marketing and people</w:t>
      </w:r>
    </w:p>
    <w:p w14:paraId="1015862B" w14:textId="77777777" w:rsidR="004A31F7" w:rsidRPr="004A31F7" w:rsidRDefault="004A31F7" w:rsidP="004A31F7">
      <w:pPr>
        <w:spacing w:after="193" w:line="337" w:lineRule="atLeast"/>
        <w:rPr>
          <w:rFonts w:eastAsia="Times New Roman" w:cs="Times New Roman"/>
          <w:kern w:val="0"/>
          <w:sz w:val="20"/>
          <w:szCs w:val="20"/>
          <w:lang w:eastAsia="en-GB"/>
          <w14:ligatures w14:val="none"/>
        </w:rPr>
      </w:pPr>
      <w:r w:rsidRPr="004A31F7">
        <w:rPr>
          <w:rFonts w:eastAsia="Times New Roman" w:cs="Times New Roman"/>
          <w:kern w:val="0"/>
          <w:sz w:val="20"/>
          <w:szCs w:val="20"/>
          <w:lang w:eastAsia="en-GB"/>
          <w14:ligatures w14:val="none"/>
        </w:rPr>
        <w:t>Students are introduced to business concepts and issues concerning the activities of a business. They explore the purpose and role of a business from spotting an opportunity through to the growth of an established business. They also look at the role of marketing and human resources.</w:t>
      </w:r>
    </w:p>
    <w:p w14:paraId="24C8C949" w14:textId="77777777" w:rsidR="004A31F7" w:rsidRPr="004A31F7" w:rsidRDefault="004A31F7" w:rsidP="004A31F7">
      <w:pPr>
        <w:spacing w:after="308" w:line="308" w:lineRule="atLeast"/>
        <w:outlineLvl w:val="3"/>
        <w:rPr>
          <w:rFonts w:eastAsia="Times New Roman" w:cs="Times New Roman"/>
          <w:b/>
          <w:bCs/>
          <w:kern w:val="0"/>
          <w:sz w:val="20"/>
          <w:szCs w:val="20"/>
          <w:lang w:eastAsia="en-GB"/>
          <w14:ligatures w14:val="none"/>
        </w:rPr>
      </w:pPr>
      <w:r w:rsidRPr="004A31F7">
        <w:rPr>
          <w:rFonts w:eastAsia="Times New Roman" w:cs="Times New Roman"/>
          <w:b/>
          <w:bCs/>
          <w:kern w:val="0"/>
          <w:sz w:val="20"/>
          <w:szCs w:val="20"/>
          <w:lang w:eastAsia="en-GB"/>
          <w14:ligatures w14:val="none"/>
        </w:rPr>
        <w:t>Business 02: Operations, finance and influences on business</w:t>
      </w:r>
    </w:p>
    <w:p w14:paraId="45DEA8B2" w14:textId="77777777" w:rsidR="004A31F7" w:rsidRPr="004A31F7" w:rsidRDefault="004A31F7" w:rsidP="004A31F7">
      <w:pPr>
        <w:spacing w:after="193" w:line="337" w:lineRule="atLeast"/>
        <w:rPr>
          <w:rFonts w:eastAsia="Times New Roman" w:cs="Times New Roman"/>
          <w:kern w:val="0"/>
          <w:sz w:val="20"/>
          <w:szCs w:val="20"/>
          <w:lang w:eastAsia="en-GB"/>
          <w14:ligatures w14:val="none"/>
        </w:rPr>
      </w:pPr>
      <w:r w:rsidRPr="004A31F7">
        <w:rPr>
          <w:rFonts w:eastAsia="Times New Roman" w:cs="Times New Roman"/>
          <w:kern w:val="0"/>
          <w:sz w:val="20"/>
          <w:szCs w:val="20"/>
          <w:lang w:eastAsia="en-GB"/>
          <w14:ligatures w14:val="none"/>
        </w:rPr>
        <w:t>Students take a closer look at the role of operations and finance in business activity. Operations include production processes, quality of goods and services, customer service, and working with suppliers. Finance covers its role, its sources, costs, profit and loss, cash and cash flow.</w:t>
      </w:r>
    </w:p>
    <w:p w14:paraId="368DDAE8" w14:textId="219B1CEE" w:rsidR="004A31F7" w:rsidRPr="00BE44CF" w:rsidRDefault="004A31F7" w:rsidP="00BE44CF">
      <w:pPr>
        <w:spacing w:after="193" w:line="337" w:lineRule="atLeast"/>
        <w:rPr>
          <w:rFonts w:ascii="Source Sans Pro" w:eastAsia="Times New Roman" w:hAnsi="Source Sans Pro" w:cs="Times New Roman"/>
          <w:b/>
          <w:bCs/>
          <w:color w:val="00245D"/>
          <w:kern w:val="0"/>
          <w:sz w:val="20"/>
          <w:szCs w:val="20"/>
          <w:lang w:eastAsia="en-GB"/>
          <w14:ligatures w14:val="none"/>
        </w:rPr>
      </w:pPr>
      <w:r w:rsidRPr="004A31F7">
        <w:rPr>
          <w:rFonts w:eastAsia="Times New Roman" w:cs="Times New Roman"/>
          <w:kern w:val="0"/>
          <w:sz w:val="20"/>
          <w:szCs w:val="20"/>
          <w:lang w:eastAsia="en-GB"/>
          <w14:ligatures w14:val="none"/>
        </w:rPr>
        <w:t>They also explore how business responds to external influences, such as ethical and environmental considerations, the economic climate and globalisation, and the interdependent nature of business.</w:t>
      </w:r>
      <w:r w:rsidRPr="00BE44CF">
        <w:rPr>
          <w:rFonts w:ascii="Source Sans Pro" w:eastAsia="Times New Roman" w:hAnsi="Source Sans Pro" w:cs="Times New Roman"/>
          <w:b/>
          <w:bCs/>
          <w:color w:val="00245D"/>
          <w:kern w:val="0"/>
          <w:sz w:val="20"/>
          <w:szCs w:val="20"/>
          <w:lang w:eastAsia="en-GB"/>
          <w14:ligatures w14:val="none"/>
        </w:rPr>
        <w:t xml:space="preserve"> </w:t>
      </w:r>
    </w:p>
    <w:tbl>
      <w:tblPr>
        <w:tblStyle w:val="TableGrid1"/>
        <w:tblpPr w:leftFromText="180" w:rightFromText="180" w:vertAnchor="text" w:horzAnchor="margin" w:tblpXSpec="center" w:tblpY="466"/>
        <w:tblW w:w="9209" w:type="dxa"/>
        <w:tblLook w:val="04A0" w:firstRow="1" w:lastRow="0" w:firstColumn="1" w:lastColumn="0" w:noHBand="0" w:noVBand="1"/>
      </w:tblPr>
      <w:tblGrid>
        <w:gridCol w:w="1271"/>
        <w:gridCol w:w="3969"/>
        <w:gridCol w:w="3969"/>
      </w:tblGrid>
      <w:tr w:rsidR="004A31F7" w:rsidRPr="004A31F7" w14:paraId="6951D3B2" w14:textId="77777777" w:rsidTr="00960A8E">
        <w:trPr>
          <w:trHeight w:val="81"/>
        </w:trPr>
        <w:tc>
          <w:tcPr>
            <w:tcW w:w="1271" w:type="dxa"/>
            <w:shd w:val="clear" w:color="auto" w:fill="D9D9D9"/>
          </w:tcPr>
          <w:p w14:paraId="21F3413D" w14:textId="77777777" w:rsidR="004A31F7" w:rsidRPr="004A31F7" w:rsidRDefault="004A31F7" w:rsidP="00BE44CF">
            <w:pPr>
              <w:jc w:val="center"/>
              <w:rPr>
                <w:rFonts w:ascii="Calibri" w:eastAsia="Calibri" w:hAnsi="Calibri" w:cs="Times New Roman"/>
                <w:b/>
                <w:bCs/>
              </w:rPr>
            </w:pPr>
            <w:bookmarkStart w:id="0" w:name="_Hlk201822908"/>
            <w:r w:rsidRPr="004A31F7">
              <w:rPr>
                <w:rFonts w:ascii="Calibri" w:eastAsia="Calibri" w:hAnsi="Calibri" w:cs="Times New Roman"/>
                <w:b/>
                <w:bCs/>
              </w:rPr>
              <w:t xml:space="preserve">TERM </w:t>
            </w:r>
          </w:p>
        </w:tc>
        <w:tc>
          <w:tcPr>
            <w:tcW w:w="3969" w:type="dxa"/>
            <w:shd w:val="clear" w:color="auto" w:fill="D9D9D9"/>
          </w:tcPr>
          <w:p w14:paraId="0C1A8ECA"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 xml:space="preserve">Year 10 </w:t>
            </w:r>
          </w:p>
        </w:tc>
        <w:tc>
          <w:tcPr>
            <w:tcW w:w="3969" w:type="dxa"/>
            <w:shd w:val="clear" w:color="auto" w:fill="D9D9D9"/>
          </w:tcPr>
          <w:p w14:paraId="71E495C0"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Year 11</w:t>
            </w:r>
          </w:p>
        </w:tc>
      </w:tr>
      <w:tr w:rsidR="004A31F7" w:rsidRPr="004A31F7" w14:paraId="61624EB4" w14:textId="77777777" w:rsidTr="00960A8E">
        <w:trPr>
          <w:trHeight w:val="332"/>
        </w:trPr>
        <w:tc>
          <w:tcPr>
            <w:tcW w:w="1271" w:type="dxa"/>
            <w:shd w:val="clear" w:color="auto" w:fill="95DCF7"/>
          </w:tcPr>
          <w:p w14:paraId="033331B4"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HT1</w:t>
            </w:r>
          </w:p>
        </w:tc>
        <w:tc>
          <w:tcPr>
            <w:tcW w:w="3969" w:type="dxa"/>
            <w:shd w:val="clear" w:color="auto" w:fill="95DCF7"/>
          </w:tcPr>
          <w:p w14:paraId="5E06784B" w14:textId="77777777" w:rsidR="004A31F7" w:rsidRPr="004A31F7" w:rsidRDefault="004A31F7" w:rsidP="00BE44CF">
            <w:pPr>
              <w:rPr>
                <w:rFonts w:ascii="Calibri" w:eastAsia="Calibri" w:hAnsi="Calibri" w:cs="Times New Roman"/>
              </w:rPr>
            </w:pPr>
            <w:r w:rsidRPr="004A31F7">
              <w:rPr>
                <w:rFonts w:ascii="Calibri" w:eastAsia="Calibri" w:hAnsi="Calibri" w:cs="Times New Roman"/>
                <w:b/>
                <w:bCs/>
              </w:rPr>
              <w:t>Unit 1</w:t>
            </w:r>
            <w:r w:rsidRPr="004A31F7">
              <w:rPr>
                <w:rFonts w:ascii="Calibri" w:eastAsia="Calibri" w:hAnsi="Calibri" w:cs="Times New Roman"/>
              </w:rPr>
              <w:t xml:space="preserve">- </w:t>
            </w:r>
            <w:r w:rsidRPr="004A31F7">
              <w:rPr>
                <w:rFonts w:ascii="Calibri" w:eastAsia="Calibri" w:hAnsi="Calibri" w:cs="Times New Roman"/>
                <w:b/>
                <w:bCs/>
              </w:rPr>
              <w:t>Business activity</w:t>
            </w:r>
            <w:r w:rsidRPr="004A31F7">
              <w:rPr>
                <w:rFonts w:ascii="Calibri" w:eastAsia="Calibri" w:hAnsi="Calibri" w:cs="Times New Roman"/>
              </w:rPr>
              <w:t xml:space="preserve"> </w:t>
            </w:r>
          </w:p>
          <w:p w14:paraId="3941AE0A" w14:textId="40B682F4" w:rsidR="004A31F7" w:rsidRPr="00BE44CF" w:rsidRDefault="004A31F7" w:rsidP="00BE44CF">
            <w:pPr>
              <w:rPr>
                <w:rFonts w:ascii="Calibri" w:eastAsia="Calibri" w:hAnsi="Calibri" w:cs="Times New Roman"/>
              </w:rPr>
            </w:pPr>
            <w:r w:rsidRPr="00BE44CF">
              <w:rPr>
                <w:rFonts w:ascii="Calibri" w:eastAsia="Calibri" w:hAnsi="Calibri" w:cs="Times New Roman"/>
              </w:rPr>
              <w:t xml:space="preserve">1.1 </w:t>
            </w:r>
            <w:r w:rsidRPr="00BE44CF">
              <w:rPr>
                <w:rFonts w:ascii="Calibri" w:eastAsia="Calibri" w:hAnsi="Calibri" w:cs="Times New Roman"/>
              </w:rPr>
              <w:t>The role of business enterprise and entrepreneurship</w:t>
            </w:r>
          </w:p>
          <w:p w14:paraId="27BE897B" w14:textId="53CB46C7" w:rsidR="004A31F7" w:rsidRPr="004A31F7" w:rsidRDefault="004A31F7" w:rsidP="00BE44CF">
            <w:pPr>
              <w:contextualSpacing/>
              <w:rPr>
                <w:rFonts w:ascii="Calibri" w:eastAsia="Calibri" w:hAnsi="Calibri" w:cs="Times New Roman"/>
              </w:rPr>
            </w:pPr>
            <w:r w:rsidRPr="00BE44CF">
              <w:rPr>
                <w:rFonts w:ascii="Calibri" w:eastAsia="Calibri" w:hAnsi="Calibri" w:cs="Times New Roman"/>
              </w:rPr>
              <w:t xml:space="preserve">1.2 </w:t>
            </w:r>
            <w:r w:rsidRPr="004A31F7">
              <w:rPr>
                <w:rFonts w:ascii="Calibri" w:eastAsia="Calibri" w:hAnsi="Calibri" w:cs="Times New Roman"/>
              </w:rPr>
              <w:t>Business planning</w:t>
            </w:r>
          </w:p>
          <w:p w14:paraId="53ACF0F9" w14:textId="20AD2EA7" w:rsidR="004A31F7" w:rsidRPr="004A31F7" w:rsidRDefault="004A31F7" w:rsidP="00BE44CF">
            <w:pPr>
              <w:contextualSpacing/>
              <w:rPr>
                <w:rFonts w:ascii="Calibri" w:eastAsia="Calibri" w:hAnsi="Calibri" w:cs="Times New Roman"/>
              </w:rPr>
            </w:pPr>
            <w:r w:rsidRPr="00BE44CF">
              <w:rPr>
                <w:rFonts w:ascii="Calibri" w:eastAsia="Calibri" w:hAnsi="Calibri" w:cs="Times New Roman"/>
              </w:rPr>
              <w:t xml:space="preserve">1.3 </w:t>
            </w:r>
            <w:r w:rsidRPr="004A31F7">
              <w:rPr>
                <w:rFonts w:ascii="Calibri" w:eastAsia="Calibri" w:hAnsi="Calibri" w:cs="Times New Roman"/>
              </w:rPr>
              <w:t>Business ownership</w:t>
            </w:r>
          </w:p>
        </w:tc>
        <w:tc>
          <w:tcPr>
            <w:tcW w:w="3969" w:type="dxa"/>
            <w:shd w:val="clear" w:color="auto" w:fill="95DCF7"/>
          </w:tcPr>
          <w:p w14:paraId="2CA570A0"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 xml:space="preserve">Unit 4- Operations </w:t>
            </w:r>
          </w:p>
          <w:p w14:paraId="61DE80BE"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4.1 Production processes</w:t>
            </w:r>
          </w:p>
          <w:p w14:paraId="2FFDD1F7"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4.2 Quality of goods and services</w:t>
            </w:r>
          </w:p>
          <w:p w14:paraId="376CBB82"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rPr>
              <w:t>4.3 The sales process and customer service</w:t>
            </w:r>
          </w:p>
        </w:tc>
      </w:tr>
      <w:tr w:rsidR="004A31F7" w:rsidRPr="004A31F7" w14:paraId="676D07E2" w14:textId="77777777" w:rsidTr="00960A8E">
        <w:trPr>
          <w:trHeight w:val="284"/>
        </w:trPr>
        <w:tc>
          <w:tcPr>
            <w:tcW w:w="1271" w:type="dxa"/>
            <w:shd w:val="clear" w:color="auto" w:fill="95DCF7"/>
          </w:tcPr>
          <w:p w14:paraId="13723F7D"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HT2</w:t>
            </w:r>
          </w:p>
        </w:tc>
        <w:tc>
          <w:tcPr>
            <w:tcW w:w="3969" w:type="dxa"/>
            <w:shd w:val="clear" w:color="auto" w:fill="95DCF7"/>
          </w:tcPr>
          <w:p w14:paraId="20FA47B3" w14:textId="77777777" w:rsidR="004A31F7" w:rsidRPr="004A31F7" w:rsidRDefault="004A31F7" w:rsidP="00BE44CF">
            <w:pPr>
              <w:rPr>
                <w:rFonts w:ascii="Calibri" w:eastAsia="Calibri" w:hAnsi="Calibri" w:cs="Times New Roman"/>
              </w:rPr>
            </w:pPr>
            <w:r w:rsidRPr="004A31F7">
              <w:rPr>
                <w:rFonts w:ascii="Calibri" w:eastAsia="Calibri" w:hAnsi="Calibri" w:cs="Times New Roman"/>
                <w:b/>
                <w:bCs/>
              </w:rPr>
              <w:t>Unit 1- Business activity</w:t>
            </w:r>
            <w:r w:rsidRPr="004A31F7">
              <w:rPr>
                <w:rFonts w:ascii="Calibri" w:eastAsia="Calibri" w:hAnsi="Calibri" w:cs="Times New Roman"/>
              </w:rPr>
              <w:t xml:space="preserve">  </w:t>
            </w:r>
          </w:p>
          <w:p w14:paraId="3C9D54BA"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1.4 Business aims and objectives</w:t>
            </w:r>
          </w:p>
          <w:p w14:paraId="7AC82DF9"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1.5 Stakeholders in business</w:t>
            </w:r>
          </w:p>
          <w:p w14:paraId="6C989175"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1.6 Business growth</w:t>
            </w:r>
          </w:p>
        </w:tc>
        <w:tc>
          <w:tcPr>
            <w:tcW w:w="3969" w:type="dxa"/>
            <w:shd w:val="clear" w:color="auto" w:fill="95DCF7"/>
          </w:tcPr>
          <w:p w14:paraId="341113D7"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Unit 4- Operations</w:t>
            </w:r>
          </w:p>
          <w:p w14:paraId="0E32ECF6"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4.4 Consumer law</w:t>
            </w:r>
          </w:p>
          <w:p w14:paraId="52B94247"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4.5 Business location</w:t>
            </w:r>
          </w:p>
          <w:p w14:paraId="28307E61"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rPr>
              <w:t>4.6 Working with suppliers</w:t>
            </w:r>
          </w:p>
        </w:tc>
      </w:tr>
      <w:tr w:rsidR="004A31F7" w:rsidRPr="004A31F7" w14:paraId="54DD409D" w14:textId="77777777" w:rsidTr="00960A8E">
        <w:trPr>
          <w:trHeight w:val="332"/>
        </w:trPr>
        <w:tc>
          <w:tcPr>
            <w:tcW w:w="1271" w:type="dxa"/>
            <w:shd w:val="clear" w:color="auto" w:fill="E59EDC"/>
          </w:tcPr>
          <w:p w14:paraId="5CD44F3A"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HT3</w:t>
            </w:r>
          </w:p>
        </w:tc>
        <w:tc>
          <w:tcPr>
            <w:tcW w:w="3969" w:type="dxa"/>
            <w:shd w:val="clear" w:color="auto" w:fill="E59EDC"/>
          </w:tcPr>
          <w:p w14:paraId="57F05403" w14:textId="77777777" w:rsidR="004A31F7" w:rsidRPr="004A31F7" w:rsidRDefault="004A31F7" w:rsidP="00BE44CF">
            <w:pPr>
              <w:rPr>
                <w:rFonts w:ascii="Calibri" w:eastAsia="Calibri" w:hAnsi="Calibri" w:cs="Times New Roman"/>
              </w:rPr>
            </w:pPr>
            <w:r w:rsidRPr="004A31F7">
              <w:rPr>
                <w:rFonts w:ascii="Calibri" w:eastAsia="Calibri" w:hAnsi="Calibri" w:cs="Times New Roman"/>
                <w:b/>
                <w:bCs/>
              </w:rPr>
              <w:t>Unit 2- Marketing</w:t>
            </w:r>
          </w:p>
          <w:p w14:paraId="39D3DF2A"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2.1 The role of marketing</w:t>
            </w:r>
          </w:p>
          <w:p w14:paraId="10253390"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2.2 Market research</w:t>
            </w:r>
          </w:p>
        </w:tc>
        <w:tc>
          <w:tcPr>
            <w:tcW w:w="3969" w:type="dxa"/>
            <w:shd w:val="clear" w:color="auto" w:fill="E59EDC"/>
          </w:tcPr>
          <w:p w14:paraId="7E37E4F7"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Unit 5- Finance</w:t>
            </w:r>
          </w:p>
          <w:p w14:paraId="4157C6C6"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5.1 The role of the finance function</w:t>
            </w:r>
          </w:p>
          <w:p w14:paraId="5F717B43"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5.2 Sources of finance</w:t>
            </w:r>
          </w:p>
          <w:p w14:paraId="1F92914F"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rPr>
              <w:t>5.3 Revenue, costs, profit and loss</w:t>
            </w:r>
          </w:p>
        </w:tc>
      </w:tr>
      <w:tr w:rsidR="004A31F7" w:rsidRPr="004A31F7" w14:paraId="13196A20" w14:textId="77777777" w:rsidTr="00960A8E">
        <w:trPr>
          <w:trHeight w:val="332"/>
        </w:trPr>
        <w:tc>
          <w:tcPr>
            <w:tcW w:w="1271" w:type="dxa"/>
            <w:shd w:val="clear" w:color="auto" w:fill="E59EDC"/>
          </w:tcPr>
          <w:p w14:paraId="4704BAB9"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HT4</w:t>
            </w:r>
          </w:p>
        </w:tc>
        <w:tc>
          <w:tcPr>
            <w:tcW w:w="3969" w:type="dxa"/>
            <w:shd w:val="clear" w:color="auto" w:fill="E59EDC"/>
          </w:tcPr>
          <w:p w14:paraId="1B7C366F"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Unit 2- Marketing</w:t>
            </w:r>
          </w:p>
          <w:p w14:paraId="0740F108"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2.3 Market segmentation</w:t>
            </w:r>
          </w:p>
          <w:p w14:paraId="616B75EE"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2.4 The marketing mix</w:t>
            </w:r>
          </w:p>
        </w:tc>
        <w:tc>
          <w:tcPr>
            <w:tcW w:w="3969" w:type="dxa"/>
            <w:shd w:val="clear" w:color="auto" w:fill="E59EDC"/>
          </w:tcPr>
          <w:p w14:paraId="729803E0"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Unit 5- Finance</w:t>
            </w:r>
          </w:p>
          <w:p w14:paraId="4CD98F1A"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5.4 Break-even</w:t>
            </w:r>
          </w:p>
          <w:p w14:paraId="5153B37C"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rPr>
              <w:t>5.5 Cash and cash flow</w:t>
            </w:r>
          </w:p>
        </w:tc>
      </w:tr>
      <w:tr w:rsidR="004A31F7" w:rsidRPr="004A31F7" w14:paraId="04814739" w14:textId="77777777" w:rsidTr="00960A8E">
        <w:trPr>
          <w:trHeight w:val="332"/>
        </w:trPr>
        <w:tc>
          <w:tcPr>
            <w:tcW w:w="1271" w:type="dxa"/>
            <w:shd w:val="clear" w:color="auto" w:fill="B3E5A1"/>
          </w:tcPr>
          <w:p w14:paraId="51090B71"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HT5</w:t>
            </w:r>
          </w:p>
        </w:tc>
        <w:tc>
          <w:tcPr>
            <w:tcW w:w="3969" w:type="dxa"/>
            <w:shd w:val="clear" w:color="auto" w:fill="B3E5A1"/>
          </w:tcPr>
          <w:p w14:paraId="6308C245" w14:textId="77777777" w:rsidR="004A31F7" w:rsidRPr="004A31F7" w:rsidRDefault="004A31F7" w:rsidP="00BE44CF">
            <w:pPr>
              <w:rPr>
                <w:rFonts w:ascii="Calibri" w:eastAsia="Calibri" w:hAnsi="Calibri" w:cs="Times New Roman"/>
              </w:rPr>
            </w:pPr>
            <w:r w:rsidRPr="004A31F7">
              <w:rPr>
                <w:rFonts w:ascii="Calibri" w:eastAsia="Calibri" w:hAnsi="Calibri" w:cs="Times New Roman"/>
                <w:b/>
                <w:bCs/>
              </w:rPr>
              <w:t>Unit 3- People</w:t>
            </w:r>
          </w:p>
          <w:p w14:paraId="6211B133"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3.1 The role of human resources</w:t>
            </w:r>
          </w:p>
          <w:p w14:paraId="5BC7CD17"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3.2 Organisational structures and different ways of working</w:t>
            </w:r>
          </w:p>
          <w:p w14:paraId="1B13C3D9"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3.3 Communication in business</w:t>
            </w:r>
          </w:p>
        </w:tc>
        <w:tc>
          <w:tcPr>
            <w:tcW w:w="3969" w:type="dxa"/>
            <w:shd w:val="clear" w:color="auto" w:fill="B3E5A1"/>
          </w:tcPr>
          <w:p w14:paraId="604D232A" w14:textId="194CFB41"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 xml:space="preserve">Unit 6- </w:t>
            </w:r>
            <w:r w:rsidR="00960A8E">
              <w:rPr>
                <w:rFonts w:ascii="Calibri" w:eastAsia="Calibri" w:hAnsi="Calibri" w:cs="Times New Roman"/>
                <w:b/>
                <w:bCs/>
              </w:rPr>
              <w:t>I</w:t>
            </w:r>
            <w:r w:rsidRPr="004A31F7">
              <w:rPr>
                <w:rFonts w:ascii="Calibri" w:eastAsia="Calibri" w:hAnsi="Calibri" w:cs="Times New Roman"/>
                <w:b/>
                <w:bCs/>
              </w:rPr>
              <w:t>nfluence in business</w:t>
            </w:r>
          </w:p>
          <w:p w14:paraId="0A4AD91A"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6.1 Ethical and environmental considerations</w:t>
            </w:r>
          </w:p>
          <w:p w14:paraId="747781ED"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6.2 The economic climate</w:t>
            </w:r>
          </w:p>
          <w:p w14:paraId="27C045E1"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6.3 Globalisation</w:t>
            </w:r>
          </w:p>
          <w:p w14:paraId="1645880E"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7. The interdependent nature of business</w:t>
            </w:r>
          </w:p>
        </w:tc>
      </w:tr>
      <w:tr w:rsidR="004A31F7" w:rsidRPr="004A31F7" w14:paraId="40DE5C76" w14:textId="77777777" w:rsidTr="00960A8E">
        <w:trPr>
          <w:trHeight w:val="854"/>
        </w:trPr>
        <w:tc>
          <w:tcPr>
            <w:tcW w:w="1271" w:type="dxa"/>
            <w:shd w:val="clear" w:color="auto" w:fill="B3E5A1"/>
          </w:tcPr>
          <w:p w14:paraId="6E9609C8" w14:textId="77777777" w:rsidR="004A31F7" w:rsidRPr="004A31F7" w:rsidRDefault="004A31F7" w:rsidP="00BE44CF">
            <w:pPr>
              <w:jc w:val="center"/>
              <w:rPr>
                <w:rFonts w:ascii="Calibri" w:eastAsia="Calibri" w:hAnsi="Calibri" w:cs="Times New Roman"/>
                <w:b/>
                <w:bCs/>
              </w:rPr>
            </w:pPr>
            <w:r w:rsidRPr="004A31F7">
              <w:rPr>
                <w:rFonts w:ascii="Calibri" w:eastAsia="Calibri" w:hAnsi="Calibri" w:cs="Times New Roman"/>
                <w:b/>
                <w:bCs/>
              </w:rPr>
              <w:t>HT6</w:t>
            </w:r>
          </w:p>
        </w:tc>
        <w:tc>
          <w:tcPr>
            <w:tcW w:w="3969" w:type="dxa"/>
            <w:shd w:val="clear" w:color="auto" w:fill="B3E5A1"/>
          </w:tcPr>
          <w:p w14:paraId="0D0220B7"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Unit 3- People</w:t>
            </w:r>
          </w:p>
          <w:p w14:paraId="25ADC50E"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3.4 Recruitment and selection</w:t>
            </w:r>
          </w:p>
          <w:p w14:paraId="166D62E2"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3.5 Motivation and retention</w:t>
            </w:r>
          </w:p>
          <w:p w14:paraId="7D7745CC"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3.6 Training and development</w:t>
            </w:r>
          </w:p>
          <w:p w14:paraId="63BDB12C" w14:textId="77777777" w:rsidR="004A31F7" w:rsidRPr="004A31F7" w:rsidRDefault="004A31F7" w:rsidP="00BE44CF">
            <w:pPr>
              <w:rPr>
                <w:rFonts w:ascii="Calibri" w:eastAsia="Calibri" w:hAnsi="Calibri" w:cs="Times New Roman"/>
              </w:rPr>
            </w:pPr>
            <w:r w:rsidRPr="004A31F7">
              <w:rPr>
                <w:rFonts w:ascii="Calibri" w:eastAsia="Calibri" w:hAnsi="Calibri" w:cs="Times New Roman"/>
              </w:rPr>
              <w:t>3.7 Employment law</w:t>
            </w:r>
          </w:p>
        </w:tc>
        <w:tc>
          <w:tcPr>
            <w:tcW w:w="3969" w:type="dxa"/>
            <w:shd w:val="clear" w:color="auto" w:fill="B3E5A1"/>
          </w:tcPr>
          <w:p w14:paraId="7F42CDCE" w14:textId="77777777" w:rsidR="004A31F7" w:rsidRPr="004A31F7" w:rsidRDefault="004A31F7" w:rsidP="00BE44CF">
            <w:pPr>
              <w:rPr>
                <w:rFonts w:ascii="Calibri" w:eastAsia="Calibri" w:hAnsi="Calibri" w:cs="Times New Roman"/>
                <w:b/>
                <w:bCs/>
              </w:rPr>
            </w:pPr>
            <w:r w:rsidRPr="004A31F7">
              <w:rPr>
                <w:rFonts w:ascii="Calibri" w:eastAsia="Calibri" w:hAnsi="Calibri" w:cs="Times New Roman"/>
                <w:b/>
                <w:bCs/>
              </w:rPr>
              <w:t xml:space="preserve">Revision </w:t>
            </w:r>
          </w:p>
        </w:tc>
      </w:tr>
      <w:bookmarkEnd w:id="0"/>
    </w:tbl>
    <w:p w14:paraId="1642C777" w14:textId="67C60C56" w:rsidR="004A31F7" w:rsidRPr="004A31F7" w:rsidRDefault="004A31F7" w:rsidP="004A31F7">
      <w:pPr>
        <w:tabs>
          <w:tab w:val="left" w:pos="2208"/>
        </w:tabs>
      </w:pPr>
    </w:p>
    <w:sectPr w:rsidR="004A31F7" w:rsidRPr="004A31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927D" w14:textId="77777777" w:rsidR="004A31F7" w:rsidRDefault="004A31F7" w:rsidP="004A31F7">
      <w:pPr>
        <w:spacing w:after="0" w:line="240" w:lineRule="auto"/>
      </w:pPr>
      <w:r>
        <w:separator/>
      </w:r>
    </w:p>
  </w:endnote>
  <w:endnote w:type="continuationSeparator" w:id="0">
    <w:p w14:paraId="3C13061C" w14:textId="77777777" w:rsidR="004A31F7" w:rsidRDefault="004A31F7" w:rsidP="004A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8225" w14:textId="77777777" w:rsidR="004A31F7" w:rsidRDefault="004A31F7" w:rsidP="004A31F7">
      <w:pPr>
        <w:spacing w:after="0" w:line="240" w:lineRule="auto"/>
      </w:pPr>
      <w:r>
        <w:separator/>
      </w:r>
    </w:p>
  </w:footnote>
  <w:footnote w:type="continuationSeparator" w:id="0">
    <w:p w14:paraId="2469C10C" w14:textId="77777777" w:rsidR="004A31F7" w:rsidRDefault="004A31F7" w:rsidP="004A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55CF" w14:textId="77777777" w:rsidR="004A31F7" w:rsidRPr="00A9798C" w:rsidRDefault="004A31F7" w:rsidP="004A31F7">
    <w:pPr>
      <w:pStyle w:val="Header"/>
      <w:rPr>
        <w:sz w:val="36"/>
        <w:szCs w:val="36"/>
      </w:rPr>
    </w:pPr>
    <w:r>
      <w:rPr>
        <w:sz w:val="36"/>
        <w:szCs w:val="36"/>
      </w:rPr>
      <w:t xml:space="preserve">RMA- Business Curriculum plan </w:t>
    </w:r>
  </w:p>
  <w:p w14:paraId="7E8A934E" w14:textId="77777777" w:rsidR="004A31F7" w:rsidRPr="004A31F7" w:rsidRDefault="004A31F7" w:rsidP="004A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E77"/>
    <w:multiLevelType w:val="multilevel"/>
    <w:tmpl w:val="1B68E64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0857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F7"/>
    <w:rsid w:val="004A31F7"/>
    <w:rsid w:val="00960A8E"/>
    <w:rsid w:val="00BE44CF"/>
    <w:rsid w:val="00E7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B001"/>
  <w15:chartTrackingRefBased/>
  <w15:docId w15:val="{D8123DD6-B6F4-4547-9BB2-6C179BBA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1F7"/>
    <w:rPr>
      <w:rFonts w:eastAsiaTheme="majorEastAsia" w:cstheme="majorBidi"/>
      <w:color w:val="272727" w:themeColor="text1" w:themeTint="D8"/>
    </w:rPr>
  </w:style>
  <w:style w:type="paragraph" w:styleId="Title">
    <w:name w:val="Title"/>
    <w:basedOn w:val="Normal"/>
    <w:next w:val="Normal"/>
    <w:link w:val="TitleChar"/>
    <w:uiPriority w:val="10"/>
    <w:qFormat/>
    <w:rsid w:val="004A3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1F7"/>
    <w:pPr>
      <w:spacing w:before="160"/>
      <w:jc w:val="center"/>
    </w:pPr>
    <w:rPr>
      <w:i/>
      <w:iCs/>
      <w:color w:val="404040" w:themeColor="text1" w:themeTint="BF"/>
    </w:rPr>
  </w:style>
  <w:style w:type="character" w:customStyle="1" w:styleId="QuoteChar">
    <w:name w:val="Quote Char"/>
    <w:basedOn w:val="DefaultParagraphFont"/>
    <w:link w:val="Quote"/>
    <w:uiPriority w:val="29"/>
    <w:rsid w:val="004A31F7"/>
    <w:rPr>
      <w:i/>
      <w:iCs/>
      <w:color w:val="404040" w:themeColor="text1" w:themeTint="BF"/>
    </w:rPr>
  </w:style>
  <w:style w:type="paragraph" w:styleId="ListParagraph">
    <w:name w:val="List Paragraph"/>
    <w:basedOn w:val="Normal"/>
    <w:uiPriority w:val="34"/>
    <w:qFormat/>
    <w:rsid w:val="004A31F7"/>
    <w:pPr>
      <w:ind w:left="720"/>
      <w:contextualSpacing/>
    </w:pPr>
  </w:style>
  <w:style w:type="character" w:styleId="IntenseEmphasis">
    <w:name w:val="Intense Emphasis"/>
    <w:basedOn w:val="DefaultParagraphFont"/>
    <w:uiPriority w:val="21"/>
    <w:qFormat/>
    <w:rsid w:val="004A31F7"/>
    <w:rPr>
      <w:i/>
      <w:iCs/>
      <w:color w:val="0F4761" w:themeColor="accent1" w:themeShade="BF"/>
    </w:rPr>
  </w:style>
  <w:style w:type="paragraph" w:styleId="IntenseQuote">
    <w:name w:val="Intense Quote"/>
    <w:basedOn w:val="Normal"/>
    <w:next w:val="Normal"/>
    <w:link w:val="IntenseQuoteChar"/>
    <w:uiPriority w:val="30"/>
    <w:qFormat/>
    <w:rsid w:val="004A3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1F7"/>
    <w:rPr>
      <w:i/>
      <w:iCs/>
      <w:color w:val="0F4761" w:themeColor="accent1" w:themeShade="BF"/>
    </w:rPr>
  </w:style>
  <w:style w:type="character" w:styleId="IntenseReference">
    <w:name w:val="Intense Reference"/>
    <w:basedOn w:val="DefaultParagraphFont"/>
    <w:uiPriority w:val="32"/>
    <w:qFormat/>
    <w:rsid w:val="004A31F7"/>
    <w:rPr>
      <w:b/>
      <w:bCs/>
      <w:smallCaps/>
      <w:color w:val="0F4761" w:themeColor="accent1" w:themeShade="BF"/>
      <w:spacing w:val="5"/>
    </w:rPr>
  </w:style>
  <w:style w:type="table" w:customStyle="1" w:styleId="TableGrid1">
    <w:name w:val="Table Grid1"/>
    <w:basedOn w:val="TableNormal"/>
    <w:next w:val="TableGrid"/>
    <w:uiPriority w:val="39"/>
    <w:rsid w:val="004A31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F7"/>
  </w:style>
  <w:style w:type="paragraph" w:styleId="Footer">
    <w:name w:val="footer"/>
    <w:basedOn w:val="Normal"/>
    <w:link w:val="FooterChar"/>
    <w:uiPriority w:val="99"/>
    <w:unhideWhenUsed/>
    <w:rsid w:val="004A3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80302">
      <w:bodyDiv w:val="1"/>
      <w:marLeft w:val="0"/>
      <w:marRight w:val="0"/>
      <w:marTop w:val="0"/>
      <w:marBottom w:val="0"/>
      <w:divBdr>
        <w:top w:val="none" w:sz="0" w:space="0" w:color="auto"/>
        <w:left w:val="none" w:sz="0" w:space="0" w:color="auto"/>
        <w:bottom w:val="none" w:sz="0" w:space="0" w:color="auto"/>
        <w:right w:val="none" w:sz="0" w:space="0" w:color="auto"/>
      </w:divBdr>
      <w:divsChild>
        <w:div w:id="1165559043">
          <w:marLeft w:val="150"/>
          <w:marRight w:val="150"/>
          <w:marTop w:val="0"/>
          <w:marBottom w:val="0"/>
          <w:divBdr>
            <w:top w:val="none" w:sz="0" w:space="0" w:color="auto"/>
            <w:left w:val="none" w:sz="0" w:space="0" w:color="auto"/>
            <w:bottom w:val="none" w:sz="0" w:space="0" w:color="auto"/>
            <w:right w:val="none" w:sz="0" w:space="0" w:color="auto"/>
          </w:divBdr>
          <w:divsChild>
            <w:div w:id="566112341">
              <w:marLeft w:val="0"/>
              <w:marRight w:val="0"/>
              <w:marTop w:val="0"/>
              <w:marBottom w:val="0"/>
              <w:divBdr>
                <w:top w:val="none" w:sz="0" w:space="0" w:color="auto"/>
                <w:left w:val="none" w:sz="0" w:space="0" w:color="auto"/>
                <w:bottom w:val="none" w:sz="0" w:space="0" w:color="auto"/>
                <w:right w:val="none" w:sz="0" w:space="0" w:color="auto"/>
              </w:divBdr>
            </w:div>
          </w:divsChild>
        </w:div>
        <w:div w:id="1857573641">
          <w:marLeft w:val="150"/>
          <w:marRight w:val="150"/>
          <w:marTop w:val="0"/>
          <w:marBottom w:val="0"/>
          <w:divBdr>
            <w:top w:val="none" w:sz="0" w:space="0" w:color="auto"/>
            <w:left w:val="none" w:sz="0" w:space="0" w:color="auto"/>
            <w:bottom w:val="none" w:sz="0" w:space="0" w:color="auto"/>
            <w:right w:val="none" w:sz="0" w:space="0" w:color="auto"/>
          </w:divBdr>
          <w:divsChild>
            <w:div w:id="9778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317">
      <w:bodyDiv w:val="1"/>
      <w:marLeft w:val="0"/>
      <w:marRight w:val="0"/>
      <w:marTop w:val="0"/>
      <w:marBottom w:val="0"/>
      <w:divBdr>
        <w:top w:val="none" w:sz="0" w:space="0" w:color="auto"/>
        <w:left w:val="none" w:sz="0" w:space="0" w:color="auto"/>
        <w:bottom w:val="none" w:sz="0" w:space="0" w:color="auto"/>
        <w:right w:val="none" w:sz="0" w:space="0" w:color="auto"/>
      </w:divBdr>
    </w:div>
    <w:div w:id="9569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318</Words>
  <Characters>1819</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OCR BUSINESS</vt:lpstr>
      <vt:lpstr>        Content overview</vt:lpstr>
    </vt:vector>
  </TitlesOfParts>
  <Company>The Mead Educational Trust</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Kianne Francis</dc:creator>
  <cp:keywords/>
  <dc:description/>
  <cp:lastModifiedBy>Kianne Francis</cp:lastModifiedBy>
  <cp:revision>2</cp:revision>
  <dcterms:created xsi:type="dcterms:W3CDTF">2025-06-26T08:33:00Z</dcterms:created>
  <dcterms:modified xsi:type="dcterms:W3CDTF">2025-06-26T08:56:00Z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2025-06-26T08:45:19Z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ca96889f-ef7b-41aa-b4ee-6ad248f67e14</vt:lpwstr>
  </property>
  <property fmtid="{D5CDD505-2E9C-101B-9397-08002B2CF9AE}" pid="8" name="MSIP_Label_d6fe2a56-af49-4a87-8d01-0ad3300d8c60_ContentBits">
    <vt:lpwstr>0</vt:lpwstr>
  </property>
  <property fmtid="{D5CDD505-2E9C-101B-9397-08002B2CF9AE}" pid="9" name="MSIP_Label_d6fe2a56-af49-4a87-8d01-0ad3300d8c60_Tag">
    <vt:lpwstr>10, 3, 0, 1</vt:lpwstr>
  </property>
</Properties>
</file>